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A6086">
      <w:pPr>
        <w:rPr>
          <w:rFonts w:hint="default"/>
          <w:lang w:val="en-IN"/>
        </w:rPr>
      </w:pPr>
      <w:r>
        <w:rPr>
          <w:rFonts w:hint="default"/>
          <w:lang w:val="en-IN"/>
        </w:rPr>
        <w:t xml:space="preserve">LIST OF JOURNAL PUBLICATIONS </w:t>
      </w:r>
    </w:p>
    <w:tbl>
      <w:tblPr>
        <w:tblStyle w:val="3"/>
        <w:tblpPr w:leftFromText="180" w:rightFromText="180" w:vertAnchor="text" w:horzAnchor="page" w:tblpX="474" w:tblpY="199"/>
        <w:tblOverlap w:val="never"/>
        <w:tblW w:w="10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2714"/>
        <w:gridCol w:w="1978"/>
        <w:gridCol w:w="1209"/>
        <w:gridCol w:w="2424"/>
        <w:gridCol w:w="1409"/>
      </w:tblGrid>
      <w:tr w14:paraId="60D36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03" w:type="dxa"/>
          </w:tcPr>
          <w:p w14:paraId="235F07E1">
            <w:pPr>
              <w:pStyle w:val="5"/>
              <w:spacing w:before="6"/>
              <w:ind w:left="163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Sr.</w:t>
            </w:r>
            <w:r>
              <w:rPr>
                <w:rFonts w:hint="default" w:ascii="Arial" w:hAnsi="Arial" w:cs="Arial"/>
                <w:b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/>
                <w:color w:val="auto"/>
                <w:spacing w:val="-5"/>
                <w:sz w:val="18"/>
                <w:szCs w:val="18"/>
              </w:rPr>
              <w:t>No.</w:t>
            </w:r>
          </w:p>
        </w:tc>
        <w:tc>
          <w:tcPr>
            <w:tcW w:w="2714" w:type="dxa"/>
          </w:tcPr>
          <w:p w14:paraId="659A4133">
            <w:pPr>
              <w:pStyle w:val="5"/>
              <w:spacing w:before="6"/>
              <w:ind w:left="643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pacing w:val="-2"/>
                <w:sz w:val="18"/>
                <w:szCs w:val="18"/>
              </w:rPr>
              <w:t>Title</w:t>
            </w:r>
          </w:p>
        </w:tc>
        <w:tc>
          <w:tcPr>
            <w:tcW w:w="1978" w:type="dxa"/>
          </w:tcPr>
          <w:p w14:paraId="71E3C653">
            <w:pPr>
              <w:pStyle w:val="5"/>
              <w:spacing w:before="15" w:line="226" w:lineRule="exact"/>
              <w:ind w:left="681" w:hanging="380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Authors</w:t>
            </w:r>
            <w:r>
              <w:rPr>
                <w:rFonts w:hint="default" w:ascii="Arial" w:hAnsi="Arial" w:cs="Arial"/>
                <w:b/>
                <w:color w:val="auto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from</w:t>
            </w:r>
            <w:r>
              <w:rPr>
                <w:rFonts w:hint="default" w:ascii="Arial" w:hAnsi="Arial" w:cs="Arial"/>
                <w:b/>
                <w:color w:val="auto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 xml:space="preserve">the </w:t>
            </w:r>
            <w:r>
              <w:rPr>
                <w:rFonts w:hint="default" w:ascii="Arial" w:hAnsi="Arial" w:cs="Arial"/>
                <w:b/>
                <w:color w:val="auto"/>
                <w:spacing w:val="-2"/>
                <w:sz w:val="18"/>
                <w:szCs w:val="18"/>
              </w:rPr>
              <w:t>institute</w:t>
            </w:r>
          </w:p>
        </w:tc>
        <w:tc>
          <w:tcPr>
            <w:tcW w:w="1209" w:type="dxa"/>
          </w:tcPr>
          <w:p w14:paraId="2D2A1883">
            <w:pPr>
              <w:pStyle w:val="5"/>
              <w:spacing w:before="15" w:line="226" w:lineRule="exact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Departments</w:t>
            </w:r>
            <w:r>
              <w:rPr>
                <w:rFonts w:hint="default" w:ascii="Arial" w:hAnsi="Arial" w:cs="Arial"/>
                <w:b/>
                <w:color w:val="auto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 xml:space="preserve">of </w:t>
            </w:r>
            <w:r>
              <w:rPr>
                <w:rFonts w:hint="default" w:ascii="Arial" w:hAnsi="Arial" w:cs="Arial"/>
                <w:b/>
                <w:color w:val="auto"/>
                <w:spacing w:val="-2"/>
                <w:sz w:val="18"/>
                <w:szCs w:val="18"/>
              </w:rPr>
              <w:t>authors</w:t>
            </w:r>
          </w:p>
        </w:tc>
        <w:tc>
          <w:tcPr>
            <w:tcW w:w="2424" w:type="dxa"/>
          </w:tcPr>
          <w:p w14:paraId="729DF6E7">
            <w:pPr>
              <w:pStyle w:val="5"/>
              <w:spacing w:before="15" w:line="226" w:lineRule="exact"/>
              <w:ind w:left="210" w:right="93" w:hanging="24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pacing w:val="-2"/>
                <w:sz w:val="18"/>
                <w:szCs w:val="18"/>
              </w:rPr>
              <w:t>Journal details</w:t>
            </w:r>
          </w:p>
        </w:tc>
        <w:tc>
          <w:tcPr>
            <w:tcW w:w="1409" w:type="dxa"/>
          </w:tcPr>
          <w:p w14:paraId="69793BB7">
            <w:pPr>
              <w:pStyle w:val="5"/>
              <w:spacing w:before="15" w:line="226" w:lineRule="exact"/>
              <w:ind w:left="627" w:hanging="480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Journal</w:t>
            </w:r>
          </w:p>
          <w:p w14:paraId="66845FDD">
            <w:pPr>
              <w:pStyle w:val="5"/>
              <w:spacing w:before="15" w:line="226" w:lineRule="exact"/>
              <w:ind w:left="627" w:hanging="480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indexed with</w:t>
            </w:r>
          </w:p>
          <w:p w14:paraId="2B168557">
            <w:pPr>
              <w:pStyle w:val="5"/>
              <w:spacing w:before="15" w:line="226" w:lineRule="exact"/>
              <w:ind w:left="627" w:hanging="480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Which</w:t>
            </w:r>
          </w:p>
          <w:p w14:paraId="40EC8946">
            <w:pPr>
              <w:pStyle w:val="5"/>
              <w:spacing w:before="15" w:line="226" w:lineRule="exact"/>
              <w:ind w:left="627" w:hanging="480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indexing</w:t>
            </w:r>
          </w:p>
          <w:p w14:paraId="562025BD">
            <w:pPr>
              <w:pStyle w:val="5"/>
              <w:spacing w:before="15" w:line="226" w:lineRule="exact"/>
              <w:ind w:left="627" w:hanging="480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agency</w:t>
            </w:r>
          </w:p>
        </w:tc>
      </w:tr>
      <w:tr w14:paraId="63BB3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3" w:type="dxa"/>
          </w:tcPr>
          <w:p w14:paraId="73365217">
            <w:pPr>
              <w:pStyle w:val="5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pacing w:val="-10"/>
                <w:sz w:val="18"/>
                <w:szCs w:val="18"/>
              </w:rPr>
              <w:t>1</w:t>
            </w:r>
          </w:p>
        </w:tc>
        <w:tc>
          <w:tcPr>
            <w:tcW w:w="2714" w:type="dxa"/>
          </w:tcPr>
          <w:p w14:paraId="54E11E81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Style w:val="6"/>
                <w:rFonts w:hint="default" w:ascii="Arial" w:hAnsi="Arial" w:cs="Arial"/>
                <w:bCs/>
                <w:color w:val="auto"/>
                <w:sz w:val="18"/>
                <w:szCs w:val="18"/>
              </w:rPr>
              <w:t xml:space="preserve"> Study of drug utilization pattern  in patients of thyroid disorders with or without comorbidities visiting medicine</w:t>
            </w:r>
            <w:r>
              <w:rPr>
                <w:rStyle w:val="7"/>
                <w:rFonts w:hint="default" w:ascii="Arial" w:hAnsi="Arial" w:cs="Arial"/>
                <w:bCs/>
                <w:color w:val="auto"/>
                <w:sz w:val="18"/>
                <w:szCs w:val="18"/>
              </w:rPr>
              <w:t> </w:t>
            </w:r>
            <w:r>
              <w:rPr>
                <w:rStyle w:val="6"/>
                <w:rFonts w:hint="default" w:ascii="Arial" w:hAnsi="Arial" w:cs="Arial"/>
                <w:bCs/>
                <w:color w:val="auto"/>
                <w:sz w:val="18"/>
                <w:szCs w:val="18"/>
              </w:rPr>
              <w:t>out patientdepartment of a tertiary care teaching  hospital.</w:t>
            </w:r>
          </w:p>
        </w:tc>
        <w:tc>
          <w:tcPr>
            <w:tcW w:w="1978" w:type="dxa"/>
          </w:tcPr>
          <w:p w14:paraId="1475BEE9">
            <w:pPr>
              <w:pStyle w:val="5"/>
              <w:rPr>
                <w:rStyle w:val="6"/>
                <w:rFonts w:hint="default"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Style w:val="6"/>
                <w:rFonts w:hint="default" w:ascii="Arial" w:hAnsi="Arial" w:cs="Arial"/>
                <w:bCs/>
                <w:color w:val="auto"/>
                <w:sz w:val="18"/>
                <w:szCs w:val="18"/>
              </w:rPr>
              <w:t xml:space="preserve">Kajal Gupta, </w:t>
            </w:r>
          </w:p>
          <w:p w14:paraId="572441EE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Style w:val="6"/>
                <w:rFonts w:hint="default" w:ascii="Arial" w:hAnsi="Arial" w:cs="Arial"/>
                <w:bCs/>
                <w:color w:val="auto"/>
                <w:sz w:val="18"/>
                <w:szCs w:val="18"/>
              </w:rPr>
              <w:t xml:space="preserve">M L Pardeshi. </w:t>
            </w:r>
          </w:p>
        </w:tc>
        <w:tc>
          <w:tcPr>
            <w:tcW w:w="1209" w:type="dxa"/>
          </w:tcPr>
          <w:p w14:paraId="44C775CC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7B4839B1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Style w:val="8"/>
                <w:rFonts w:hint="default" w:ascii="Arial" w:hAnsi="Arial" w:cs="Arial"/>
                <w:bCs/>
                <w:color w:val="auto"/>
                <w:sz w:val="18"/>
                <w:szCs w:val="18"/>
              </w:rPr>
              <w:t>World</w:t>
            </w:r>
            <w:r>
              <w:rPr>
                <w:rStyle w:val="7"/>
                <w:rFonts w:hint="default" w:ascii="Arial" w:hAnsi="Arial" w:cs="Arial"/>
                <w:bCs/>
                <w:color w:val="auto"/>
                <w:sz w:val="18"/>
                <w:szCs w:val="18"/>
              </w:rPr>
              <w:t> </w:t>
            </w:r>
            <w:r>
              <w:rPr>
                <w:rStyle w:val="8"/>
                <w:rFonts w:hint="default" w:ascii="Arial" w:hAnsi="Arial" w:cs="Arial"/>
                <w:bCs/>
                <w:color w:val="auto"/>
                <w:sz w:val="18"/>
                <w:szCs w:val="18"/>
              </w:rPr>
              <w:t>Journal of Pharmaceutical Research.</w:t>
            </w:r>
          </w:p>
        </w:tc>
        <w:tc>
          <w:tcPr>
            <w:tcW w:w="1409" w:type="dxa"/>
          </w:tcPr>
          <w:p w14:paraId="2AB2B8A2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Scholar 9</w:t>
            </w:r>
          </w:p>
          <w:p w14:paraId="2301E42F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WJPR Archive</w:t>
            </w:r>
          </w:p>
        </w:tc>
      </w:tr>
      <w:tr w14:paraId="5712C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3" w:type="dxa"/>
          </w:tcPr>
          <w:p w14:paraId="3B70A509">
            <w:pPr>
              <w:pStyle w:val="5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2714" w:type="dxa"/>
            <w:shd w:val="clear"/>
            <w:vAlign w:val="top"/>
          </w:tcPr>
          <w:p w14:paraId="6C484B72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color w:val="auto"/>
                <w:sz w:val="18"/>
                <w:szCs w:val="18"/>
                <w:lang w:val="en-IN" w:eastAsia="zh-CN" w:bidi="ar-SA"/>
              </w:rPr>
              <w:t>A</w:t>
            </w:r>
            <w:r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  <w:t>ssessment of knowledge, attitude and practice of hemovigilance among resident doctors at a tertiary care teaching hospital in pune.</w:t>
            </w:r>
          </w:p>
          <w:p w14:paraId="480A5EFC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8" w:type="dxa"/>
          </w:tcPr>
          <w:p w14:paraId="745B1B68">
            <w:pPr>
              <w:pStyle w:val="5"/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val="en-IN" w:eastAsia="en-GB"/>
              </w:rPr>
              <w:t>J</w:t>
            </w: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ogdand M</w:t>
            </w:r>
          </w:p>
          <w:p w14:paraId="40DF14BD">
            <w:pPr>
              <w:pStyle w:val="5"/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</w:pPr>
          </w:p>
          <w:p w14:paraId="3CB6A76B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Barve R</w:t>
            </w:r>
          </w:p>
        </w:tc>
        <w:tc>
          <w:tcPr>
            <w:tcW w:w="1209" w:type="dxa"/>
          </w:tcPr>
          <w:p w14:paraId="44B8E486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1E11555C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Global journal for research analysis.</w:t>
            </w:r>
          </w:p>
        </w:tc>
        <w:tc>
          <w:tcPr>
            <w:tcW w:w="1409" w:type="dxa"/>
          </w:tcPr>
          <w:p w14:paraId="6F805D8A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Copernicus</w:t>
            </w:r>
          </w:p>
          <w:p w14:paraId="662C85EF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Google scholar</w:t>
            </w:r>
          </w:p>
          <w:p w14:paraId="24D04BD0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</w:p>
        </w:tc>
      </w:tr>
      <w:tr w14:paraId="6A5C2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3" w:type="dxa"/>
          </w:tcPr>
          <w:p w14:paraId="14E11AB9">
            <w:pPr>
              <w:pStyle w:val="5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2714" w:type="dxa"/>
            <w:shd w:val="clear"/>
            <w:vAlign w:val="top"/>
          </w:tcPr>
          <w:p w14:paraId="7CE94888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 xml:space="preserve"> “Knowledge, Attitude, and Practice about Antimicrobial Stewardship Concepts Among Practitioners”..</w:t>
            </w:r>
          </w:p>
        </w:tc>
        <w:tc>
          <w:tcPr>
            <w:tcW w:w="1978" w:type="dxa"/>
          </w:tcPr>
          <w:p w14:paraId="07251C9D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Bodke, Akshay Vishwasrao, Momin Mohd Abdul Mujeeb, Milind L. Pardeshi, Sangeeta S. Dabhade, Smita A. Tiwari, Nitin C. Gawari, Amol R. Jadhav, and Rahul V. Kedare.</w:t>
            </w:r>
          </w:p>
        </w:tc>
        <w:tc>
          <w:tcPr>
            <w:tcW w:w="1209" w:type="dxa"/>
          </w:tcPr>
          <w:p w14:paraId="5D8B3D32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7A9B61EC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 International Journal of Basic &amp; Clinical Pharmacology</w:t>
            </w:r>
          </w:p>
        </w:tc>
        <w:tc>
          <w:tcPr>
            <w:tcW w:w="1409" w:type="dxa"/>
          </w:tcPr>
          <w:p w14:paraId="507417E8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Pubmed</w:t>
            </w:r>
          </w:p>
          <w:p w14:paraId="1C84A399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Index copernicus</w:t>
            </w:r>
          </w:p>
          <w:p w14:paraId="2C1265B0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crossRef</w:t>
            </w:r>
          </w:p>
          <w:p w14:paraId="4A08D110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Google scholar</w:t>
            </w:r>
          </w:p>
          <w:p w14:paraId="00ED1708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J-gate</w:t>
            </w:r>
          </w:p>
        </w:tc>
      </w:tr>
      <w:tr w14:paraId="2AA99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0" w:type="auto"/>
          </w:tcPr>
          <w:p w14:paraId="01036186">
            <w:pPr>
              <w:pStyle w:val="5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4.</w:t>
            </w:r>
          </w:p>
        </w:tc>
        <w:tc>
          <w:tcPr>
            <w:tcW w:w="2714" w:type="dxa"/>
            <w:shd w:val="clear"/>
            <w:vAlign w:val="top"/>
          </w:tcPr>
          <w:p w14:paraId="4127C3F4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IN" w:eastAsia="zh-CN" w:bidi="ar-SA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 xml:space="preserve"> Knowledge and Attitude Regarding Pharmacovigilance in General Population. </w:t>
            </w:r>
          </w:p>
        </w:tc>
        <w:tc>
          <w:tcPr>
            <w:tcW w:w="1978" w:type="dxa"/>
          </w:tcPr>
          <w:p w14:paraId="66C02972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Kartiki C Aher, Smita A Tiwari, Prerana M Kadam.</w:t>
            </w:r>
          </w:p>
        </w:tc>
        <w:tc>
          <w:tcPr>
            <w:tcW w:w="1209" w:type="dxa"/>
          </w:tcPr>
          <w:p w14:paraId="1CBFA710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2B73871C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Indian Journal of Public Health Research and Development</w:t>
            </w: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val="en-IN" w:eastAsia="en-GB"/>
              </w:rPr>
              <w:t>.</w:t>
            </w:r>
          </w:p>
        </w:tc>
        <w:tc>
          <w:tcPr>
            <w:tcW w:w="0" w:type="auto"/>
          </w:tcPr>
          <w:p w14:paraId="4151A716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Google scholar </w:t>
            </w:r>
          </w:p>
          <w:p w14:paraId="5929B760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Embase</w:t>
            </w:r>
          </w:p>
        </w:tc>
      </w:tr>
      <w:tr w14:paraId="40442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0" w:type="auto"/>
          </w:tcPr>
          <w:p w14:paraId="4F05BC00">
            <w:pPr>
              <w:pStyle w:val="5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5.</w:t>
            </w:r>
          </w:p>
        </w:tc>
        <w:tc>
          <w:tcPr>
            <w:tcW w:w="2714" w:type="dxa"/>
            <w:shd w:val="clear"/>
            <w:vAlign w:val="top"/>
          </w:tcPr>
          <w:p w14:paraId="2F3AFB20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 xml:space="preserve"> Prescription Analysis and Drug Utilization Pattern in Out Patient Department of Hospital Pharmacy at a Tertiary Care Teaching Hospital.</w:t>
            </w:r>
          </w:p>
        </w:tc>
        <w:tc>
          <w:tcPr>
            <w:tcW w:w="1978" w:type="dxa"/>
          </w:tcPr>
          <w:p w14:paraId="33ADB270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Parveen A, Soni C, Daswani B.</w:t>
            </w:r>
          </w:p>
        </w:tc>
        <w:tc>
          <w:tcPr>
            <w:tcW w:w="1209" w:type="dxa"/>
          </w:tcPr>
          <w:p w14:paraId="1B38FE71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0BBBA05E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Hospital Pharmacology</w:t>
            </w:r>
          </w:p>
        </w:tc>
        <w:tc>
          <w:tcPr>
            <w:tcW w:w="0" w:type="auto"/>
          </w:tcPr>
          <w:p w14:paraId="42D8D543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DOAJ</w:t>
            </w:r>
          </w:p>
        </w:tc>
      </w:tr>
      <w:tr w14:paraId="76C86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0" w:type="auto"/>
          </w:tcPr>
          <w:p w14:paraId="60860934">
            <w:pPr>
              <w:pStyle w:val="5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6.</w:t>
            </w:r>
          </w:p>
        </w:tc>
        <w:tc>
          <w:tcPr>
            <w:tcW w:w="2714" w:type="dxa"/>
            <w:shd w:val="clear"/>
            <w:vAlign w:val="top"/>
          </w:tcPr>
          <w:p w14:paraId="12E059D9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color w:val="auto"/>
                <w:sz w:val="18"/>
                <w:szCs w:val="18"/>
                <w:lang w:val="en-IN" w:eastAsia="zh-CN" w:bidi="ar-SA"/>
              </w:rPr>
              <w:t>A</w:t>
            </w:r>
            <w:r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  <w:t>ssessment</w:t>
            </w:r>
          </w:p>
          <w:p w14:paraId="3D56A2E7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  <w:t>of knowledge, attitude and practice of</w:t>
            </w:r>
          </w:p>
          <w:p w14:paraId="1DB7FA3E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  <w:t>hemovigilance among resident doctors at a tertiary care</w:t>
            </w:r>
          </w:p>
          <w:p w14:paraId="555C0DBD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  <w:t>teaching hospital in pune.</w:t>
            </w:r>
          </w:p>
        </w:tc>
        <w:tc>
          <w:tcPr>
            <w:tcW w:w="1978" w:type="dxa"/>
          </w:tcPr>
          <w:p w14:paraId="7BE495E5">
            <w:pPr>
              <w:pStyle w:val="5"/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Jogdand M</w:t>
            </w:r>
          </w:p>
          <w:p w14:paraId="730D3137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Barve R.</w:t>
            </w:r>
          </w:p>
        </w:tc>
        <w:tc>
          <w:tcPr>
            <w:tcW w:w="1209" w:type="dxa"/>
          </w:tcPr>
          <w:p w14:paraId="2A4471BE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438796AE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Global journal for research analysis.</w:t>
            </w:r>
          </w:p>
        </w:tc>
        <w:tc>
          <w:tcPr>
            <w:tcW w:w="0" w:type="auto"/>
          </w:tcPr>
          <w:p w14:paraId="008FECA2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Copernicus</w:t>
            </w:r>
          </w:p>
          <w:p w14:paraId="2DD5B15A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Google scholar</w:t>
            </w:r>
          </w:p>
          <w:p w14:paraId="638A3201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</w:tr>
      <w:tr w14:paraId="6FABE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0" w:type="auto"/>
          </w:tcPr>
          <w:p w14:paraId="66EA8CB9">
            <w:pPr>
              <w:pStyle w:val="5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7.</w:t>
            </w:r>
          </w:p>
        </w:tc>
        <w:tc>
          <w:tcPr>
            <w:tcW w:w="2714" w:type="dxa"/>
            <w:shd w:val="clear"/>
            <w:vAlign w:val="top"/>
          </w:tcPr>
          <w:p w14:paraId="0CD98180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 xml:space="preserve"> Knowledge and Attitude Regarding Pharmacovigilance in General Population.</w:t>
            </w:r>
          </w:p>
        </w:tc>
        <w:tc>
          <w:tcPr>
            <w:tcW w:w="1978" w:type="dxa"/>
          </w:tcPr>
          <w:p w14:paraId="32270210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Kartiki C Aher, Smita A Tiwari, Prerana M Kadam.</w:t>
            </w:r>
          </w:p>
        </w:tc>
        <w:tc>
          <w:tcPr>
            <w:tcW w:w="1209" w:type="dxa"/>
          </w:tcPr>
          <w:p w14:paraId="3994085F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41248683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 xml:space="preserve"> Indian Journal of Public Health Research and Development </w:t>
            </w:r>
          </w:p>
        </w:tc>
        <w:tc>
          <w:tcPr>
            <w:tcW w:w="0" w:type="auto"/>
          </w:tcPr>
          <w:p w14:paraId="655CC982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Google scholar </w:t>
            </w:r>
          </w:p>
          <w:p w14:paraId="09094402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Embase</w:t>
            </w:r>
            <w:bookmarkStart w:id="0" w:name="_GoBack"/>
            <w:bookmarkEnd w:id="0"/>
          </w:p>
        </w:tc>
      </w:tr>
      <w:tr w14:paraId="1948F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0" w:type="auto"/>
          </w:tcPr>
          <w:p w14:paraId="07800D8C">
            <w:pPr>
              <w:pStyle w:val="5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8.</w:t>
            </w:r>
          </w:p>
        </w:tc>
        <w:tc>
          <w:tcPr>
            <w:tcW w:w="2714" w:type="dxa"/>
            <w:shd w:val="clear"/>
            <w:vAlign w:val="top"/>
          </w:tcPr>
          <w:p w14:paraId="06FF7603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 xml:space="preserve"> Sep’2024. “Knowledge, Attitude, and Practice about Antimicrobial Stewardship Concepts Among Practitioners”. </w:t>
            </w:r>
          </w:p>
        </w:tc>
        <w:tc>
          <w:tcPr>
            <w:tcW w:w="1978" w:type="dxa"/>
          </w:tcPr>
          <w:p w14:paraId="4A44EE8E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Bodke, Akshay Vishwasrao, Momin Mohd Abdul Mujeeb, Milind L. Pardeshi, Sangeeta S. Dabhade, Smita A. Tiwari, Nitin C. Gawari, Amol R. Jadhav, and Rahul V. Kedare.</w:t>
            </w:r>
          </w:p>
        </w:tc>
        <w:tc>
          <w:tcPr>
            <w:tcW w:w="1209" w:type="dxa"/>
          </w:tcPr>
          <w:p w14:paraId="110E37CD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744DC2B8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International Journal of Basic &amp; Clinical Pharmacology</w:t>
            </w:r>
          </w:p>
        </w:tc>
        <w:tc>
          <w:tcPr>
            <w:tcW w:w="0" w:type="auto"/>
          </w:tcPr>
          <w:p w14:paraId="39DAD79B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Pubmed</w:t>
            </w:r>
          </w:p>
          <w:p w14:paraId="2C260B2B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Index copernicus</w:t>
            </w:r>
          </w:p>
          <w:p w14:paraId="114653C5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crossRef</w:t>
            </w:r>
          </w:p>
          <w:p w14:paraId="30150796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Google scholar</w:t>
            </w:r>
          </w:p>
          <w:p w14:paraId="4B4D525F">
            <w:pPr>
              <w:pStyle w:val="5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J-gate</w:t>
            </w:r>
          </w:p>
        </w:tc>
      </w:tr>
    </w:tbl>
    <w:p w14:paraId="258FE3B8">
      <w:pPr>
        <w:rPr>
          <w:rFonts w:hint="default"/>
          <w:lang w:val="en-IN"/>
        </w:rPr>
      </w:pPr>
    </w:p>
    <w:p w14:paraId="6D3A0684">
      <w:pPr>
        <w:rPr>
          <w:rFonts w:hint="default"/>
          <w:lang w:val="en-I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44BBC"/>
    <w:rsid w:val="2CDE185C"/>
    <w:rsid w:val="49D2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  <w:style w:type="character" w:customStyle="1" w:styleId="6">
    <w:name w:val="s5"/>
    <w:basedOn w:val="2"/>
    <w:qFormat/>
    <w:uiPriority w:val="0"/>
  </w:style>
  <w:style w:type="character" w:customStyle="1" w:styleId="7">
    <w:name w:val="apple-converted-space"/>
    <w:basedOn w:val="2"/>
    <w:qFormat/>
    <w:uiPriority w:val="0"/>
  </w:style>
  <w:style w:type="character" w:customStyle="1" w:styleId="8">
    <w:name w:val="s6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2025-02-05T05:06:55Z</dcterms:created>
  <dc:creator>racha</dc:creator>
  <cp:lastModifiedBy>rachana chavan</cp:lastModifiedBy>
  <dcterms:modified xsi:type="dcterms:W3CDTF">2025-02-05T05:33:50Z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1B6E032BCB3A4E81870CEC838D021CAF_12</vt:lpwstr>
  </property>
</Properties>
</file>